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bookmarkStart w:id="0" w:name="_GoBack"/>
      <w:bookmarkEnd w:id="0"/>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pPr>
      <w:r>
        <w:rPr>
          <w:rFonts w:eastAsia="Times New Roman" w:cs="Times New Roman" w:ascii="Times New Roman" w:hAnsi="Times New Roman"/>
          <w:color w:val="00000A"/>
          <w:sz w:val="24"/>
        </w:rPr>
        <w:t>Týmto ako dotknutá osoba žiadam prevádzkovateľa PROFI INVEST družstvo, so sídlom Cimborkova 13 Košice, IČO: 52 072 801, zapísaný v OR Mestský súd Košice, vložka číslo: 1480/V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4"/>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sz w:val="24"/>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00000A"/>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LibreOffice/7.5.3.2$Windows_X86_64 LibreOffice_project/9f56dff12ba03b9acd7730a5a481eea045e468f3</Application>
  <AppVersion>15.0000</AppVersion>
  <DocSecurity>0</DocSecurity>
  <Pages>2</Pages>
  <Words>459</Words>
  <Characters>2749</Characters>
  <CharactersWithSpaces>3187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2025-07-07T11:09:49Z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